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95012D">
        <w:t>28</w:t>
      </w:r>
      <w:r w:rsidRPr="005C4B67">
        <w:t>.</w:t>
      </w:r>
      <w:r w:rsidR="00E463D0">
        <w:t>1</w:t>
      </w:r>
      <w:r w:rsidR="009C0BB3">
        <w:t>2</w:t>
      </w:r>
      <w:r w:rsidRPr="005C4B67">
        <w:t>.202</w:t>
      </w:r>
      <w:r w:rsidR="004573A6">
        <w:t>2</w:t>
      </w:r>
      <w:r w:rsidRPr="005C4B67">
        <w:t xml:space="preserve"> № </w:t>
      </w:r>
      <w:r w:rsidR="0095012D">
        <w:t>59</w:t>
      </w:r>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rsidR="005C4B67" w:rsidRPr="005C4B67" w:rsidRDefault="005C4B67" w:rsidP="005C4B67">
      <w:pPr>
        <w:jc w:val="both"/>
      </w:pPr>
      <w:r w:rsidRPr="005C4B67">
        <w:t>с.Рысево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E463D0" w:rsidP="00481DB6">
      <w:pPr>
        <w:shd w:val="clear" w:color="auto" w:fill="FFFFFF"/>
        <w:tabs>
          <w:tab w:val="left" w:leader="underscore" w:pos="0"/>
        </w:tabs>
        <w:ind w:firstLine="709"/>
        <w:jc w:val="center"/>
      </w:pPr>
      <w:r>
        <w:tab/>
      </w:r>
      <w:r>
        <w:tab/>
      </w:r>
      <w:r>
        <w:tab/>
      </w:r>
      <w:r>
        <w:tab/>
      </w:r>
      <w:r>
        <w:tab/>
      </w:r>
      <w:r>
        <w:tab/>
      </w:r>
      <w:r>
        <w:tab/>
        <w:t xml:space="preserve">       </w:t>
      </w:r>
      <w:r w:rsidR="00FC5EA0">
        <w:t xml:space="preserve">от </w:t>
      </w:r>
      <w:r w:rsidR="00FC5EA0"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1"/>
        <w:gridCol w:w="2843"/>
        <w:gridCol w:w="1402"/>
        <w:gridCol w:w="803"/>
        <w:gridCol w:w="1205"/>
        <w:gridCol w:w="1261"/>
        <w:gridCol w:w="1257"/>
        <w:gridCol w:w="916"/>
        <w:gridCol w:w="730"/>
        <w:gridCol w:w="596"/>
        <w:gridCol w:w="596"/>
        <w:gridCol w:w="596"/>
        <w:gridCol w:w="596"/>
        <w:gridCol w:w="845"/>
        <w:gridCol w:w="845"/>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9C0BB3"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9C0BB3" w:rsidRPr="00481DB6" w:rsidRDefault="009C0BB3" w:rsidP="00030FE7"/>
        </w:tc>
        <w:tc>
          <w:tcPr>
            <w:tcW w:w="0" w:type="auto"/>
            <w:vMerge/>
            <w:tcBorders>
              <w:top w:val="single" w:sz="4" w:space="0" w:color="000000"/>
              <w:left w:val="single" w:sz="4" w:space="0" w:color="auto"/>
              <w:bottom w:val="single" w:sz="4" w:space="0" w:color="000000"/>
              <w:right w:val="nil"/>
            </w:tcBorders>
            <w:vAlign w:val="center"/>
          </w:tcPr>
          <w:p w:rsidR="009C0BB3" w:rsidRPr="00481DB6" w:rsidRDefault="009C0BB3" w:rsidP="00030FE7"/>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2017</w:t>
            </w:r>
            <w:r>
              <w:t>-2019</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w:t>
            </w:r>
            <w:r>
              <w:t>20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1</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202</w:t>
            </w:r>
            <w: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9C0BB3">
            <w:pPr>
              <w:snapToGrid w:val="0"/>
              <w:jc w:val="center"/>
            </w:pPr>
            <w:r w:rsidRPr="00481DB6">
              <w:t>202</w:t>
            </w:r>
            <w:r>
              <w:t>4</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Pr="00481DB6" w:rsidRDefault="009C0BB3"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9C0BB3" w:rsidRPr="00481DB6" w:rsidTr="009C0BB3">
        <w:trPr>
          <w:trHeight w:val="280"/>
        </w:trPr>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9C0BB3" w:rsidRPr="00481DB6" w:rsidRDefault="009C0BB3" w:rsidP="00030FE7">
            <w:pPr>
              <w:snapToGrid w:val="0"/>
            </w:pPr>
            <w:r w:rsidRPr="00481DB6">
              <w:t>- капитальный, текущий ремонт улиц и дорог местного значения;</w:t>
            </w:r>
          </w:p>
          <w:p w:rsidR="009C0BB3" w:rsidRPr="00481DB6" w:rsidRDefault="009C0BB3" w:rsidP="00030FE7">
            <w:pPr>
              <w:snapToGrid w:val="0"/>
            </w:pPr>
            <w:r w:rsidRPr="00481DB6">
              <w:t>- устройство пешеходных тротуаров;</w:t>
            </w:r>
          </w:p>
          <w:p w:rsidR="009C0BB3" w:rsidRPr="00481DB6" w:rsidRDefault="009C0BB3"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A6869">
            <w:pPr>
              <w:rPr>
                <w:color w:val="000000"/>
              </w:rPr>
            </w:pPr>
            <w:r>
              <w:rPr>
                <w:color w:val="000000"/>
              </w:rPr>
              <w:t>82674,3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Pr="00481DB6" w:rsidRDefault="009C0BB3"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9C0BB3" w:rsidRDefault="009C0BB3" w:rsidP="009C0BB3">
            <w:pPr>
              <w:jc w:val="center"/>
              <w:rPr>
                <w:color w:val="000000"/>
              </w:rPr>
            </w:pPr>
            <w:r>
              <w:rPr>
                <w:color w:val="000000"/>
              </w:rPr>
              <w:t>82674,3</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1492,1</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698,7</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830,0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Default="009C0BB3" w:rsidP="009C0BB3">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24214,4</w:t>
            </w:r>
          </w:p>
        </w:tc>
      </w:tr>
      <w:tr w:rsidR="009C0BB3" w:rsidRPr="00481DB6" w:rsidTr="009C0BB3">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snapToGrid w:val="0"/>
            </w:pPr>
            <w: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rPr>
                <w:color w:val="000000"/>
              </w:rPr>
            </w:pPr>
            <w:r w:rsidRPr="00BE64DA">
              <w:rPr>
                <w:color w:val="000000"/>
              </w:rPr>
              <w:t>2</w:t>
            </w:r>
            <w:r>
              <w:rPr>
                <w:color w:val="000000"/>
              </w:rPr>
              <w:t>63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263,7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9C0BB3" w:rsidRPr="00481DB6" w:rsidTr="009C0BB3">
        <w:trPr>
          <w:trHeight w:val="2214"/>
        </w:trPr>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9C0BB3" w:rsidRPr="00BA4ACE" w:rsidRDefault="009C0BB3"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FFFFFF"/>
              <w:right w:val="nil"/>
            </w:tcBorders>
            <w:vAlign w:val="center"/>
            <w:hideMark/>
          </w:tcPr>
          <w:p w:rsidR="009C0BB3" w:rsidRPr="00481DB6" w:rsidRDefault="009C0BB3"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C32C66">
            <w:pPr>
              <w:rPr>
                <w:color w:val="000000"/>
              </w:rPr>
            </w:pPr>
            <w:r>
              <w:rPr>
                <w:color w:val="000000"/>
              </w:rPr>
              <w:t>603,6</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9C0BB3" w:rsidRDefault="009C0BB3" w:rsidP="009C0BB3">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Default="009C0BB3" w:rsidP="009C0BB3">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Default="009C0BB3" w:rsidP="009C0BB3">
            <w:pPr>
              <w:jc w:val="center"/>
              <w:rPr>
                <w:color w:val="000000"/>
              </w:rPr>
            </w:pPr>
            <w:r>
              <w:rPr>
                <w:color w:val="000000"/>
              </w:rPr>
              <w:t>150,0</w:t>
            </w:r>
          </w:p>
        </w:tc>
      </w:tr>
      <w:tr w:rsidR="009C0BB3"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rsidP="004E0D32">
            <w:pPr>
              <w:rPr>
                <w:color w:val="000000"/>
              </w:rPr>
            </w:pPr>
            <w:r>
              <w:rPr>
                <w:color w:val="000000"/>
              </w:rPr>
              <w:t>83709,0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83709,0</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840,0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9C0BB3" w:rsidRDefault="009C0BB3">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9C0BB3" w:rsidRDefault="009C0BB3">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473DF9">
        <w:rPr>
          <w:color w:val="000000"/>
        </w:rPr>
        <w:t>83709,0</w:t>
      </w:r>
      <w:r w:rsidR="00A42699">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w:t>
      </w:r>
      <w:r w:rsidR="00473DF9">
        <w:t>21</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042"/>
        <w:gridCol w:w="796"/>
        <w:gridCol w:w="620"/>
        <w:gridCol w:w="620"/>
        <w:gridCol w:w="620"/>
        <w:gridCol w:w="620"/>
        <w:gridCol w:w="860"/>
        <w:gridCol w:w="898"/>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73DF9"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2017</w:t>
            </w:r>
            <w:r>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15" w:firstLine="6"/>
              <w:jc w:val="center"/>
              <w:rPr>
                <w:color w:val="000000"/>
              </w:rPr>
            </w:pPr>
            <w:r w:rsidRPr="00481DB6">
              <w:rPr>
                <w:color w:val="000000"/>
              </w:rPr>
              <w:t>20</w:t>
            </w:r>
            <w:r>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26" w:firstLine="6"/>
              <w:jc w:val="center"/>
              <w:rPr>
                <w:color w:val="000000"/>
              </w:rPr>
            </w:pPr>
            <w:r w:rsidRPr="00481DB6">
              <w:rPr>
                <w:color w:val="000000"/>
              </w:rPr>
              <w:t>202</w:t>
            </w:r>
            <w:r>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firstLine="6"/>
              <w:jc w:val="center"/>
              <w:rPr>
                <w:color w:val="000000"/>
              </w:rPr>
            </w:pPr>
            <w:r w:rsidRPr="00481DB6">
              <w:rPr>
                <w:color w:val="000000"/>
              </w:rPr>
              <w:t>202</w:t>
            </w:r>
            <w:r>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202</w:t>
            </w:r>
            <w:r>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w:t>
            </w:r>
            <w:r>
              <w:rPr>
                <w:color w:val="000000"/>
              </w:rPr>
              <w:t>4</w:t>
            </w:r>
          </w:p>
          <w:p w:rsidR="00473DF9" w:rsidRPr="00481DB6" w:rsidRDefault="00473DF9"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всего</w:t>
            </w:r>
          </w:p>
        </w:tc>
      </w:tr>
      <w:tr w:rsidR="00473DF9" w:rsidRPr="00481DB6" w:rsidTr="00473DF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1492,1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698,7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830,0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82674,3</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263,7</w:t>
            </w:r>
          </w:p>
        </w:tc>
      </w:tr>
      <w:tr w:rsidR="00473DF9" w:rsidRPr="00481DB6" w:rsidTr="00473DF9">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167,4</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BA4ACE" w:rsidRDefault="00473DF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603,6</w:t>
            </w:r>
          </w:p>
        </w:tc>
      </w:tr>
      <w:tr w:rsidR="00473DF9" w:rsidRPr="00481DB6" w:rsidTr="00473DF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840,0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73DF9" w:rsidRDefault="00473DF9" w:rsidP="00473DF9">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73DF9" w:rsidRDefault="00473DF9" w:rsidP="00473DF9">
            <w:pPr>
              <w:jc w:val="center"/>
              <w:rPr>
                <w:color w:val="000000"/>
              </w:rPr>
            </w:pPr>
            <w:r>
              <w:rPr>
                <w:color w:val="000000"/>
              </w:rPr>
              <w:t>83709,0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w:t>
      </w:r>
      <w:r w:rsidR="00473DF9">
        <w:rPr>
          <w:spacing w:val="-1"/>
        </w:rPr>
        <w:t>21</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4108A9">
            <w:pPr>
              <w:jc w:val="center"/>
              <w:rPr>
                <w:color w:val="000000"/>
              </w:rPr>
            </w:pPr>
            <w:r>
              <w:rPr>
                <w:color w:val="000000"/>
              </w:rPr>
              <w:t>82674,3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573A6" w:rsidP="00C32C66">
            <w:pPr>
              <w:shd w:val="clear" w:color="auto" w:fill="FFFFFF"/>
              <w:snapToGrid w:val="0"/>
              <w:ind w:firstLine="6"/>
              <w:jc w:val="center"/>
            </w:pPr>
            <w:r w:rsidRPr="004573A6">
              <w:t>71260,2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A1300A">
            <w:pPr>
              <w:jc w:val="center"/>
              <w:rPr>
                <w:color w:val="000000"/>
              </w:rPr>
            </w:pPr>
            <w:r w:rsidRPr="00473DF9">
              <w:rPr>
                <w:color w:val="000000"/>
              </w:rPr>
              <w:t>11414,1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C32C66">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C32C66">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80225"/>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1F9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73DF9"/>
    <w:rsid w:val="00481DB6"/>
    <w:rsid w:val="00484B20"/>
    <w:rsid w:val="00485E22"/>
    <w:rsid w:val="004860F9"/>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97ACD"/>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012D"/>
    <w:rsid w:val="00952DCC"/>
    <w:rsid w:val="00971132"/>
    <w:rsid w:val="0097186E"/>
    <w:rsid w:val="009819F1"/>
    <w:rsid w:val="009831AA"/>
    <w:rsid w:val="0098636D"/>
    <w:rsid w:val="00990975"/>
    <w:rsid w:val="009943CD"/>
    <w:rsid w:val="009A1554"/>
    <w:rsid w:val="009A7D27"/>
    <w:rsid w:val="009B1DF0"/>
    <w:rsid w:val="009C0A81"/>
    <w:rsid w:val="009C0BB3"/>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2699"/>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A4ACE"/>
    <w:rsid w:val="00BB69BE"/>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4710A"/>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12A54"/>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463D0"/>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0AC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39688173">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63657786">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285545809">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391125945">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40676049">
      <w:bodyDiv w:val="1"/>
      <w:marLeft w:val="0"/>
      <w:marRight w:val="0"/>
      <w:marTop w:val="0"/>
      <w:marBottom w:val="0"/>
      <w:divBdr>
        <w:top w:val="none" w:sz="0" w:space="0" w:color="auto"/>
        <w:left w:val="none" w:sz="0" w:space="0" w:color="auto"/>
        <w:bottom w:val="none" w:sz="0" w:space="0" w:color="auto"/>
        <w:right w:val="none" w:sz="0" w:space="0" w:color="auto"/>
      </w:divBdr>
    </w:div>
    <w:div w:id="557283498">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4363560">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1818284">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072996">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69601724">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8020791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1481089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0303796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770381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077173119">
      <w:bodyDiv w:val="1"/>
      <w:marLeft w:val="0"/>
      <w:marRight w:val="0"/>
      <w:marTop w:val="0"/>
      <w:marBottom w:val="0"/>
      <w:divBdr>
        <w:top w:val="none" w:sz="0" w:space="0" w:color="auto"/>
        <w:left w:val="none" w:sz="0" w:space="0" w:color="auto"/>
        <w:bottom w:val="none" w:sz="0" w:space="0" w:color="auto"/>
        <w:right w:val="none" w:sz="0" w:space="0" w:color="auto"/>
      </w:divBdr>
    </w:div>
    <w:div w:id="1096318005">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39541429">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19135590">
      <w:bodyDiv w:val="1"/>
      <w:marLeft w:val="0"/>
      <w:marRight w:val="0"/>
      <w:marTop w:val="0"/>
      <w:marBottom w:val="0"/>
      <w:divBdr>
        <w:top w:val="none" w:sz="0" w:space="0" w:color="auto"/>
        <w:left w:val="none" w:sz="0" w:space="0" w:color="auto"/>
        <w:bottom w:val="none" w:sz="0" w:space="0" w:color="auto"/>
        <w:right w:val="none" w:sz="0" w:space="0" w:color="auto"/>
      </w:divBdr>
    </w:div>
    <w:div w:id="1419984291">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2765947">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3982085">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694383680">
      <w:bodyDiv w:val="1"/>
      <w:marLeft w:val="0"/>
      <w:marRight w:val="0"/>
      <w:marTop w:val="0"/>
      <w:marBottom w:val="0"/>
      <w:divBdr>
        <w:top w:val="none" w:sz="0" w:space="0" w:color="auto"/>
        <w:left w:val="none" w:sz="0" w:space="0" w:color="auto"/>
        <w:bottom w:val="none" w:sz="0" w:space="0" w:color="auto"/>
        <w:right w:val="none" w:sz="0" w:space="0" w:color="auto"/>
      </w:divBdr>
    </w:div>
    <w:div w:id="1710715017">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869442382">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37132443">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4769414">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6519-1C63-4A4A-81C3-48173853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8167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3</cp:revision>
  <cp:lastPrinted>2018-06-09T06:55:00Z</cp:lastPrinted>
  <dcterms:created xsi:type="dcterms:W3CDTF">2022-12-27T07:40:00Z</dcterms:created>
  <dcterms:modified xsi:type="dcterms:W3CDTF">2022-12-29T02:11:00Z</dcterms:modified>
</cp:coreProperties>
</file>